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F4D9" w14:textId="2A3FCE84" w:rsidR="00645A92" w:rsidRPr="00570F8A" w:rsidRDefault="00570F8A" w:rsidP="00570F8A">
      <w:pPr>
        <w:jc w:val="center"/>
        <w:rPr>
          <w:b/>
          <w:lang w:val="en-US"/>
        </w:rPr>
      </w:pPr>
      <w:r>
        <w:rPr>
          <w:b/>
          <w:lang w:val="en-US"/>
        </w:rPr>
        <w:t>Best Practices on Building Individual and Organizational Resil</w:t>
      </w:r>
      <w:r w:rsidR="007E4423">
        <w:rPr>
          <w:b/>
          <w:lang w:val="en-US"/>
        </w:rPr>
        <w:t>i</w:t>
      </w:r>
      <w:r>
        <w:rPr>
          <w:b/>
          <w:lang w:val="en-US"/>
        </w:rPr>
        <w:t>ence</w:t>
      </w:r>
      <w:r w:rsidR="00D56C75">
        <w:rPr>
          <w:b/>
          <w:lang w:val="en-US"/>
        </w:rPr>
        <w:t xml:space="preserve"> - PORTUGAL</w:t>
      </w:r>
    </w:p>
    <w:p w14:paraId="75D1E0CD" w14:textId="77777777" w:rsidR="00645A92" w:rsidRPr="00645A92" w:rsidRDefault="00645A92" w:rsidP="00645A92">
      <w:pPr>
        <w:rPr>
          <w:rFonts w:ascii="Calibri" w:hAnsi="Calibri" w:cs="Calibri"/>
          <w:sz w:val="22"/>
          <w:szCs w:val="22"/>
          <w:lang w:val="en-US"/>
        </w:rPr>
      </w:pPr>
    </w:p>
    <w:p w14:paraId="2ACB1AF3" w14:textId="4CD5A93A" w:rsidR="00570F8A" w:rsidRDefault="00570F8A" w:rsidP="00645A92">
      <w:pPr>
        <w:ind w:right="-154"/>
        <w:rPr>
          <w:rFonts w:ascii="Calibri" w:hAnsi="Calibri" w:cs="Calibri"/>
          <w:b/>
          <w:sz w:val="22"/>
          <w:szCs w:val="22"/>
          <w:lang w:val="en-US"/>
        </w:rPr>
      </w:pPr>
    </w:p>
    <w:tbl>
      <w:tblPr>
        <w:tblStyle w:val="TabelacomGrelha"/>
        <w:tblW w:w="14312" w:type="dxa"/>
        <w:tblLayout w:type="fixed"/>
        <w:tblLook w:val="04A0" w:firstRow="1" w:lastRow="0" w:firstColumn="1" w:lastColumn="0" w:noHBand="0" w:noVBand="1"/>
      </w:tblPr>
      <w:tblGrid>
        <w:gridCol w:w="2191"/>
        <w:gridCol w:w="1052"/>
        <w:gridCol w:w="1249"/>
        <w:gridCol w:w="1153"/>
        <w:gridCol w:w="310"/>
        <w:gridCol w:w="340"/>
        <w:gridCol w:w="361"/>
        <w:gridCol w:w="275"/>
        <w:gridCol w:w="948"/>
        <w:gridCol w:w="4307"/>
        <w:gridCol w:w="2126"/>
      </w:tblGrid>
      <w:tr w:rsidR="003E5049" w14:paraId="5429AFB1" w14:textId="0C71582D" w:rsidTr="005C5E66">
        <w:tc>
          <w:tcPr>
            <w:tcW w:w="2191" w:type="dxa"/>
            <w:vMerge w:val="restart"/>
            <w:vAlign w:val="center"/>
          </w:tcPr>
          <w:p w14:paraId="7B7DF8D3" w14:textId="00C24CF4"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Identification/Name</w:t>
            </w:r>
          </w:p>
        </w:tc>
        <w:tc>
          <w:tcPr>
            <w:tcW w:w="1052" w:type="dxa"/>
            <w:vMerge w:val="restart"/>
            <w:vAlign w:val="center"/>
          </w:tcPr>
          <w:p w14:paraId="45498865" w14:textId="71C2CF02"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Country</w:t>
            </w:r>
          </w:p>
        </w:tc>
        <w:tc>
          <w:tcPr>
            <w:tcW w:w="1249" w:type="dxa"/>
            <w:vMerge w:val="restart"/>
            <w:vAlign w:val="center"/>
          </w:tcPr>
          <w:p w14:paraId="03DFD405" w14:textId="2578B97D"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Type</w:t>
            </w:r>
          </w:p>
        </w:tc>
        <w:tc>
          <w:tcPr>
            <w:tcW w:w="1153" w:type="dxa"/>
            <w:vMerge w:val="restart"/>
            <w:vAlign w:val="center"/>
          </w:tcPr>
          <w:p w14:paraId="2ABFA194" w14:textId="58D1CE2F"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Time Frame</w:t>
            </w:r>
          </w:p>
        </w:tc>
        <w:tc>
          <w:tcPr>
            <w:tcW w:w="1286" w:type="dxa"/>
            <w:gridSpan w:val="4"/>
            <w:vAlign w:val="center"/>
          </w:tcPr>
          <w:p w14:paraId="14A66609" w14:textId="23A22F63"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Level</w:t>
            </w:r>
          </w:p>
        </w:tc>
        <w:tc>
          <w:tcPr>
            <w:tcW w:w="948" w:type="dxa"/>
            <w:vMerge w:val="restart"/>
            <w:vAlign w:val="center"/>
          </w:tcPr>
          <w:p w14:paraId="4EA534BF" w14:textId="5C7C1EF1"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Funding</w:t>
            </w:r>
          </w:p>
        </w:tc>
        <w:tc>
          <w:tcPr>
            <w:tcW w:w="4307" w:type="dxa"/>
            <w:vMerge w:val="restart"/>
            <w:vAlign w:val="center"/>
          </w:tcPr>
          <w:p w14:paraId="232817E7" w14:textId="3CF15C2E"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Description and Results</w:t>
            </w:r>
          </w:p>
        </w:tc>
        <w:tc>
          <w:tcPr>
            <w:tcW w:w="2126" w:type="dxa"/>
            <w:vMerge w:val="restart"/>
            <w:vAlign w:val="center"/>
          </w:tcPr>
          <w:p w14:paraId="73506480" w14:textId="0F23C84A"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Link/ Icon for download</w:t>
            </w:r>
          </w:p>
        </w:tc>
      </w:tr>
      <w:tr w:rsidR="003E5049" w14:paraId="52097F11" w14:textId="6E2C7E81" w:rsidTr="005C5E66">
        <w:tc>
          <w:tcPr>
            <w:tcW w:w="2191" w:type="dxa"/>
            <w:vMerge/>
            <w:vAlign w:val="center"/>
          </w:tcPr>
          <w:p w14:paraId="5E45EAAC" w14:textId="77777777" w:rsidR="003E5049" w:rsidRDefault="003E5049" w:rsidP="00B75D3D">
            <w:pPr>
              <w:spacing w:line="480" w:lineRule="auto"/>
              <w:ind w:right="-154"/>
              <w:jc w:val="center"/>
              <w:rPr>
                <w:rFonts w:ascii="Calibri" w:hAnsi="Calibri" w:cs="Calibri"/>
                <w:b/>
                <w:sz w:val="22"/>
                <w:szCs w:val="22"/>
                <w:lang w:val="en-US"/>
              </w:rPr>
            </w:pPr>
          </w:p>
        </w:tc>
        <w:tc>
          <w:tcPr>
            <w:tcW w:w="1052" w:type="dxa"/>
            <w:vMerge/>
            <w:vAlign w:val="center"/>
          </w:tcPr>
          <w:p w14:paraId="442DC333" w14:textId="77777777" w:rsidR="003E5049" w:rsidRDefault="003E5049" w:rsidP="00B75D3D">
            <w:pPr>
              <w:spacing w:line="480" w:lineRule="auto"/>
              <w:ind w:right="-154"/>
              <w:jc w:val="center"/>
              <w:rPr>
                <w:rFonts w:ascii="Calibri" w:hAnsi="Calibri" w:cs="Calibri"/>
                <w:b/>
                <w:sz w:val="22"/>
                <w:szCs w:val="22"/>
                <w:lang w:val="en-US"/>
              </w:rPr>
            </w:pPr>
          </w:p>
        </w:tc>
        <w:tc>
          <w:tcPr>
            <w:tcW w:w="1249" w:type="dxa"/>
            <w:vMerge/>
            <w:vAlign w:val="center"/>
          </w:tcPr>
          <w:p w14:paraId="6237A1F9" w14:textId="77777777" w:rsidR="003E5049" w:rsidRDefault="003E5049" w:rsidP="00B75D3D">
            <w:pPr>
              <w:spacing w:line="480" w:lineRule="auto"/>
              <w:ind w:right="-154"/>
              <w:jc w:val="center"/>
              <w:rPr>
                <w:rFonts w:ascii="Calibri" w:hAnsi="Calibri" w:cs="Calibri"/>
                <w:b/>
                <w:sz w:val="22"/>
                <w:szCs w:val="22"/>
                <w:lang w:val="en-US"/>
              </w:rPr>
            </w:pPr>
          </w:p>
        </w:tc>
        <w:tc>
          <w:tcPr>
            <w:tcW w:w="1153" w:type="dxa"/>
            <w:vMerge/>
            <w:vAlign w:val="center"/>
          </w:tcPr>
          <w:p w14:paraId="3B48AC5D" w14:textId="3CD5695B" w:rsidR="003E5049" w:rsidRDefault="003E5049" w:rsidP="00B75D3D">
            <w:pPr>
              <w:spacing w:line="480" w:lineRule="auto"/>
              <w:ind w:right="-154"/>
              <w:jc w:val="center"/>
              <w:rPr>
                <w:rFonts w:ascii="Calibri" w:hAnsi="Calibri" w:cs="Calibri"/>
                <w:b/>
                <w:sz w:val="22"/>
                <w:szCs w:val="22"/>
                <w:lang w:val="en-US"/>
              </w:rPr>
            </w:pPr>
          </w:p>
        </w:tc>
        <w:tc>
          <w:tcPr>
            <w:tcW w:w="310" w:type="dxa"/>
            <w:vAlign w:val="center"/>
          </w:tcPr>
          <w:p w14:paraId="739D41B8" w14:textId="241611E6"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L</w:t>
            </w:r>
          </w:p>
        </w:tc>
        <w:tc>
          <w:tcPr>
            <w:tcW w:w="340" w:type="dxa"/>
            <w:vAlign w:val="center"/>
          </w:tcPr>
          <w:p w14:paraId="72EF18E4" w14:textId="7DB970D4"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R</w:t>
            </w:r>
          </w:p>
        </w:tc>
        <w:tc>
          <w:tcPr>
            <w:tcW w:w="361" w:type="dxa"/>
            <w:vAlign w:val="center"/>
          </w:tcPr>
          <w:p w14:paraId="599AD624" w14:textId="4E2A71C5"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N</w:t>
            </w:r>
          </w:p>
        </w:tc>
        <w:tc>
          <w:tcPr>
            <w:tcW w:w="275" w:type="dxa"/>
            <w:vAlign w:val="center"/>
          </w:tcPr>
          <w:p w14:paraId="6E094A7E" w14:textId="4D5B7D0A" w:rsidR="003E5049" w:rsidRDefault="003E5049" w:rsidP="00B75D3D">
            <w:pPr>
              <w:spacing w:line="480" w:lineRule="auto"/>
              <w:ind w:right="-154"/>
              <w:jc w:val="center"/>
              <w:rPr>
                <w:rFonts w:ascii="Calibri" w:hAnsi="Calibri" w:cs="Calibri"/>
                <w:b/>
                <w:sz w:val="22"/>
                <w:szCs w:val="22"/>
                <w:lang w:val="en-US"/>
              </w:rPr>
            </w:pPr>
            <w:r>
              <w:rPr>
                <w:rFonts w:ascii="Calibri" w:hAnsi="Calibri" w:cs="Calibri"/>
                <w:b/>
                <w:sz w:val="22"/>
                <w:szCs w:val="22"/>
                <w:lang w:val="en-US"/>
              </w:rPr>
              <w:t>I</w:t>
            </w:r>
          </w:p>
        </w:tc>
        <w:tc>
          <w:tcPr>
            <w:tcW w:w="948" w:type="dxa"/>
            <w:vMerge/>
            <w:vAlign w:val="center"/>
          </w:tcPr>
          <w:p w14:paraId="757BB463" w14:textId="77777777" w:rsidR="003E5049" w:rsidRDefault="003E5049" w:rsidP="00B75D3D">
            <w:pPr>
              <w:spacing w:line="480" w:lineRule="auto"/>
              <w:ind w:right="-154"/>
              <w:jc w:val="center"/>
              <w:rPr>
                <w:rFonts w:ascii="Calibri" w:hAnsi="Calibri" w:cs="Calibri"/>
                <w:b/>
                <w:sz w:val="22"/>
                <w:szCs w:val="22"/>
                <w:lang w:val="en-US"/>
              </w:rPr>
            </w:pPr>
          </w:p>
        </w:tc>
        <w:tc>
          <w:tcPr>
            <w:tcW w:w="4307" w:type="dxa"/>
            <w:vMerge/>
            <w:vAlign w:val="center"/>
          </w:tcPr>
          <w:p w14:paraId="7403D4D9" w14:textId="77777777" w:rsidR="003E5049" w:rsidRDefault="003E5049" w:rsidP="00B75D3D">
            <w:pPr>
              <w:spacing w:line="480" w:lineRule="auto"/>
              <w:ind w:right="-154"/>
              <w:jc w:val="center"/>
              <w:rPr>
                <w:rFonts w:ascii="Calibri" w:hAnsi="Calibri" w:cs="Calibri"/>
                <w:b/>
                <w:sz w:val="22"/>
                <w:szCs w:val="22"/>
                <w:lang w:val="en-US"/>
              </w:rPr>
            </w:pPr>
          </w:p>
        </w:tc>
        <w:tc>
          <w:tcPr>
            <w:tcW w:w="2126" w:type="dxa"/>
            <w:vMerge/>
            <w:vAlign w:val="center"/>
          </w:tcPr>
          <w:p w14:paraId="3BFE0C61" w14:textId="77777777" w:rsidR="003E5049" w:rsidRDefault="003E5049" w:rsidP="00B75D3D">
            <w:pPr>
              <w:spacing w:line="480" w:lineRule="auto"/>
              <w:ind w:right="-154"/>
              <w:jc w:val="center"/>
              <w:rPr>
                <w:rFonts w:ascii="Calibri" w:hAnsi="Calibri" w:cs="Calibri"/>
                <w:b/>
                <w:sz w:val="22"/>
                <w:szCs w:val="22"/>
                <w:lang w:val="en-US"/>
              </w:rPr>
            </w:pPr>
          </w:p>
        </w:tc>
      </w:tr>
      <w:tr w:rsidR="003E5049" w:rsidRPr="005C5E66" w14:paraId="4AB23B49" w14:textId="1C2DC646" w:rsidTr="009D04E8">
        <w:tc>
          <w:tcPr>
            <w:tcW w:w="2191" w:type="dxa"/>
            <w:vAlign w:val="center"/>
          </w:tcPr>
          <w:p w14:paraId="4E12A901" w14:textId="2BCC4215"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Use of APL (Anticipating, Planning and Dealing Effectively) MODEL:</w:t>
            </w:r>
          </w:p>
          <w:p w14:paraId="3CEA78C2" w14:textId="77777777"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Maximizing the Resilience of</w:t>
            </w:r>
          </w:p>
          <w:p w14:paraId="4B93C4E1" w14:textId="0A278BD0" w:rsidR="003E5049" w:rsidRPr="005C5E66" w:rsidRDefault="003E5049"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Health Professionals</w:t>
            </w:r>
          </w:p>
        </w:tc>
        <w:tc>
          <w:tcPr>
            <w:tcW w:w="1052" w:type="dxa"/>
            <w:vAlign w:val="center"/>
          </w:tcPr>
          <w:p w14:paraId="48CCD857" w14:textId="0ED4AE06"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Portugal – </w:t>
            </w:r>
            <w:r w:rsidR="00D56C75" w:rsidRPr="005C5E66">
              <w:rPr>
                <w:rFonts w:ascii="Bradley Hand" w:hAnsi="Bradley Hand" w:cs="Calibri"/>
                <w:bCs/>
                <w:color w:val="4472C4" w:themeColor="accent1"/>
                <w:sz w:val="21"/>
                <w:szCs w:val="21"/>
                <w:lang w:val="en-US"/>
              </w:rPr>
              <w:t xml:space="preserve">city of </w:t>
            </w:r>
            <w:r w:rsidRPr="005C5E66">
              <w:rPr>
                <w:rFonts w:ascii="Bradley Hand" w:hAnsi="Bradley Hand" w:cs="Calibri"/>
                <w:bCs/>
                <w:color w:val="4472C4" w:themeColor="accent1"/>
                <w:sz w:val="21"/>
                <w:szCs w:val="21"/>
                <w:lang w:val="en-US"/>
              </w:rPr>
              <w:t>Porto</w:t>
            </w:r>
            <w:r w:rsidR="0077633F" w:rsidRPr="005C5E66">
              <w:rPr>
                <w:rFonts w:ascii="Bradley Hand" w:hAnsi="Bradley Hand" w:cs="Calibri"/>
                <w:bCs/>
                <w:color w:val="4472C4" w:themeColor="accent1"/>
                <w:sz w:val="21"/>
                <w:szCs w:val="21"/>
                <w:lang w:val="en-US"/>
              </w:rPr>
              <w:t xml:space="preserve"> (CHUSJ)</w:t>
            </w:r>
          </w:p>
        </w:tc>
        <w:tc>
          <w:tcPr>
            <w:tcW w:w="1249" w:type="dxa"/>
            <w:vAlign w:val="center"/>
          </w:tcPr>
          <w:p w14:paraId="3CE9E25A" w14:textId="44E1D155" w:rsidR="003E5049" w:rsidRPr="005C5E66" w:rsidRDefault="003E5049" w:rsidP="009D04E8">
            <w:pPr>
              <w:spacing w:line="480" w:lineRule="auto"/>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Individual</w:t>
            </w:r>
          </w:p>
        </w:tc>
        <w:tc>
          <w:tcPr>
            <w:tcW w:w="1153" w:type="dxa"/>
            <w:vAlign w:val="center"/>
          </w:tcPr>
          <w:p w14:paraId="7EF4BF48" w14:textId="1B45FB82"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During covid19 pandemic</w:t>
            </w:r>
          </w:p>
        </w:tc>
        <w:tc>
          <w:tcPr>
            <w:tcW w:w="310" w:type="dxa"/>
            <w:vAlign w:val="center"/>
          </w:tcPr>
          <w:p w14:paraId="2E371A00" w14:textId="1BE0C1BD" w:rsidR="003E5049" w:rsidRPr="005C5E66" w:rsidRDefault="003E5049" w:rsidP="009D04E8">
            <w:pPr>
              <w:spacing w:line="480" w:lineRule="auto"/>
              <w:ind w:right="-154"/>
              <w:jc w:val="center"/>
              <w:rPr>
                <w:rFonts w:ascii="Bradley Hand" w:hAnsi="Bradley Hand" w:cs="Calibri"/>
                <w:bCs/>
                <w:color w:val="4472C4" w:themeColor="accent1"/>
                <w:sz w:val="21"/>
                <w:szCs w:val="21"/>
                <w:lang w:val="en-US"/>
              </w:rPr>
            </w:pPr>
          </w:p>
        </w:tc>
        <w:tc>
          <w:tcPr>
            <w:tcW w:w="340" w:type="dxa"/>
            <w:vAlign w:val="center"/>
          </w:tcPr>
          <w:p w14:paraId="12ED4540" w14:textId="66CE5C34" w:rsidR="003E5049" w:rsidRPr="005C5E66" w:rsidRDefault="003E5049" w:rsidP="009D04E8">
            <w:pPr>
              <w:spacing w:line="480" w:lineRule="auto"/>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x</w:t>
            </w:r>
          </w:p>
        </w:tc>
        <w:tc>
          <w:tcPr>
            <w:tcW w:w="361" w:type="dxa"/>
            <w:vAlign w:val="center"/>
          </w:tcPr>
          <w:p w14:paraId="33865429" w14:textId="697D42E0" w:rsidR="003E5049" w:rsidRPr="005C5E66" w:rsidRDefault="003E5049" w:rsidP="009D04E8">
            <w:pPr>
              <w:spacing w:line="480" w:lineRule="auto"/>
              <w:ind w:right="-154"/>
              <w:jc w:val="center"/>
              <w:rPr>
                <w:rFonts w:ascii="Bradley Hand" w:hAnsi="Bradley Hand" w:cs="Calibri"/>
                <w:bCs/>
                <w:color w:val="4472C4" w:themeColor="accent1"/>
                <w:sz w:val="21"/>
                <w:szCs w:val="21"/>
                <w:lang w:val="en-US"/>
              </w:rPr>
            </w:pPr>
          </w:p>
        </w:tc>
        <w:tc>
          <w:tcPr>
            <w:tcW w:w="275" w:type="dxa"/>
            <w:vAlign w:val="center"/>
          </w:tcPr>
          <w:p w14:paraId="0E5B1B4E" w14:textId="624C8FD7" w:rsidR="003E5049" w:rsidRPr="005C5E66" w:rsidRDefault="003E5049" w:rsidP="009D04E8">
            <w:pPr>
              <w:spacing w:line="480" w:lineRule="auto"/>
              <w:ind w:right="-154"/>
              <w:jc w:val="center"/>
              <w:rPr>
                <w:rFonts w:ascii="Bradley Hand" w:hAnsi="Bradley Hand" w:cs="Calibri"/>
                <w:bCs/>
                <w:color w:val="4472C4" w:themeColor="accent1"/>
                <w:sz w:val="21"/>
                <w:szCs w:val="21"/>
                <w:lang w:val="en-US"/>
              </w:rPr>
            </w:pPr>
          </w:p>
        </w:tc>
        <w:tc>
          <w:tcPr>
            <w:tcW w:w="948" w:type="dxa"/>
            <w:vAlign w:val="center"/>
          </w:tcPr>
          <w:p w14:paraId="58333369" w14:textId="6BF186C6"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Yes, SNS</w:t>
            </w:r>
          </w:p>
        </w:tc>
        <w:tc>
          <w:tcPr>
            <w:tcW w:w="4307" w:type="dxa"/>
            <w:vAlign w:val="center"/>
          </w:tcPr>
          <w:p w14:paraId="2DF19943" w14:textId="24E17736"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The Psychology service of the University Hospital Center of São João, using the APL model, helped health professionals to develop responses for the construction of a Personal Resilience Plan. It includes a 24-hour telephone support line and a stress management plan, respective self-</w:t>
            </w:r>
            <w:r w:rsidR="00D56C75" w:rsidRPr="005C5E66">
              <w:rPr>
                <w:rFonts w:ascii="Bradley Hand" w:hAnsi="Bradley Hand" w:cs="Calibri"/>
                <w:bCs/>
                <w:color w:val="4472C4" w:themeColor="accent1"/>
                <w:sz w:val="21"/>
                <w:szCs w:val="21"/>
                <w:lang w:val="en-US"/>
              </w:rPr>
              <w:t>monitoring,</w:t>
            </w:r>
            <w:r w:rsidRPr="005C5E66">
              <w:rPr>
                <w:rFonts w:ascii="Bradley Hand" w:hAnsi="Bradley Hand" w:cs="Calibri"/>
                <w:bCs/>
                <w:color w:val="4472C4" w:themeColor="accent1"/>
                <w:sz w:val="21"/>
                <w:szCs w:val="21"/>
                <w:lang w:val="en-US"/>
              </w:rPr>
              <w:t xml:space="preserve"> and support in mobilizing personal resilience resources.</w:t>
            </w:r>
          </w:p>
          <w:p w14:paraId="4DEE5150" w14:textId="72547BB1"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This initiative was well received by healthcare professionals.</w:t>
            </w:r>
          </w:p>
        </w:tc>
        <w:tc>
          <w:tcPr>
            <w:tcW w:w="2126" w:type="dxa"/>
            <w:vAlign w:val="center"/>
          </w:tcPr>
          <w:p w14:paraId="231C2786" w14:textId="485BF601" w:rsidR="003E5049" w:rsidRPr="005C5E66" w:rsidRDefault="003E5049"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https://portal-chsj.min-saude.pt/ </w:t>
            </w:r>
            <w:proofErr w:type="spellStart"/>
            <w:r w:rsidRPr="005C5E66">
              <w:rPr>
                <w:rFonts w:ascii="Bradley Hand" w:hAnsi="Bradley Hand" w:cs="Calibri"/>
                <w:bCs/>
                <w:color w:val="4472C4" w:themeColor="accent1"/>
                <w:sz w:val="21"/>
                <w:szCs w:val="21"/>
                <w:lang w:val="en-US"/>
              </w:rPr>
              <w:t>frontoffice</w:t>
            </w:r>
            <w:proofErr w:type="spellEnd"/>
            <w:r w:rsidRPr="005C5E66">
              <w:rPr>
                <w:rFonts w:ascii="Bradley Hand" w:hAnsi="Bradley Hand" w:cs="Calibri"/>
                <w:bCs/>
                <w:color w:val="4472C4" w:themeColor="accent1"/>
                <w:sz w:val="21"/>
                <w:szCs w:val="21"/>
                <w:lang w:val="en-US"/>
              </w:rPr>
              <w:t>/pages/16?news_id=922</w:t>
            </w:r>
          </w:p>
        </w:tc>
      </w:tr>
      <w:tr w:rsidR="003E5049" w:rsidRPr="005C5E66" w14:paraId="26CC0B26" w14:textId="0A250D16" w:rsidTr="009D04E8">
        <w:tc>
          <w:tcPr>
            <w:tcW w:w="2191" w:type="dxa"/>
            <w:vAlign w:val="center"/>
          </w:tcPr>
          <w:p w14:paraId="44E5CE0F" w14:textId="2825CEB9" w:rsidR="003E5049" w:rsidRPr="005C5E66" w:rsidRDefault="0077633F"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Death and Mourning in Pandemic Times</w:t>
            </w:r>
          </w:p>
        </w:tc>
        <w:tc>
          <w:tcPr>
            <w:tcW w:w="1052" w:type="dxa"/>
            <w:vAlign w:val="center"/>
          </w:tcPr>
          <w:p w14:paraId="56D2BE1A" w14:textId="4E7E5D8B" w:rsidR="003E5049" w:rsidRPr="005C5E66" w:rsidRDefault="0077633F"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Portugal – city of Porto</w:t>
            </w:r>
            <w:r w:rsidRPr="005C5E66">
              <w:rPr>
                <w:rFonts w:ascii="Bradley Hand" w:hAnsi="Bradley Hand" w:cs="Calibri"/>
                <w:bCs/>
                <w:color w:val="4472C4" w:themeColor="accent1"/>
                <w:sz w:val="21"/>
                <w:szCs w:val="21"/>
                <w:lang w:val="en-US"/>
              </w:rPr>
              <w:t xml:space="preserve"> (CHUSA)</w:t>
            </w:r>
          </w:p>
        </w:tc>
        <w:tc>
          <w:tcPr>
            <w:tcW w:w="1249" w:type="dxa"/>
            <w:vAlign w:val="center"/>
          </w:tcPr>
          <w:p w14:paraId="7843DCD6" w14:textId="431E85F1" w:rsidR="003E5049" w:rsidRPr="005C5E66" w:rsidRDefault="0077633F"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Individual</w:t>
            </w:r>
          </w:p>
        </w:tc>
        <w:tc>
          <w:tcPr>
            <w:tcW w:w="1153" w:type="dxa"/>
            <w:vAlign w:val="center"/>
          </w:tcPr>
          <w:p w14:paraId="3F1EFDAD" w14:textId="32044950" w:rsidR="003E5049" w:rsidRPr="005C5E66" w:rsidRDefault="0077633F"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During covid19 pandemic</w:t>
            </w:r>
          </w:p>
        </w:tc>
        <w:tc>
          <w:tcPr>
            <w:tcW w:w="310" w:type="dxa"/>
            <w:vAlign w:val="center"/>
          </w:tcPr>
          <w:p w14:paraId="22F6A2BA" w14:textId="77777777" w:rsidR="003E5049" w:rsidRPr="005C5E66" w:rsidRDefault="003E5049" w:rsidP="009D04E8">
            <w:pPr>
              <w:ind w:right="-154"/>
              <w:jc w:val="center"/>
              <w:rPr>
                <w:rFonts w:ascii="Calibri" w:hAnsi="Calibri" w:cs="Calibri"/>
                <w:b/>
                <w:sz w:val="21"/>
                <w:szCs w:val="21"/>
                <w:lang w:val="en-US"/>
              </w:rPr>
            </w:pPr>
          </w:p>
        </w:tc>
        <w:tc>
          <w:tcPr>
            <w:tcW w:w="340" w:type="dxa"/>
            <w:vAlign w:val="center"/>
          </w:tcPr>
          <w:p w14:paraId="6ACD7AFB" w14:textId="3E7E631C" w:rsidR="003E5049" w:rsidRPr="005C5E66" w:rsidRDefault="0077633F"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x</w:t>
            </w:r>
          </w:p>
        </w:tc>
        <w:tc>
          <w:tcPr>
            <w:tcW w:w="361" w:type="dxa"/>
            <w:vAlign w:val="center"/>
          </w:tcPr>
          <w:p w14:paraId="67F3DEF9" w14:textId="77777777" w:rsidR="003E5049" w:rsidRPr="005C5E66" w:rsidRDefault="003E5049" w:rsidP="009D04E8">
            <w:pPr>
              <w:ind w:right="-154"/>
              <w:jc w:val="center"/>
              <w:rPr>
                <w:rFonts w:ascii="Calibri" w:hAnsi="Calibri" w:cs="Calibri"/>
                <w:b/>
                <w:sz w:val="21"/>
                <w:szCs w:val="21"/>
                <w:lang w:val="en-US"/>
              </w:rPr>
            </w:pPr>
          </w:p>
        </w:tc>
        <w:tc>
          <w:tcPr>
            <w:tcW w:w="275" w:type="dxa"/>
            <w:vAlign w:val="center"/>
          </w:tcPr>
          <w:p w14:paraId="11BDF6F6" w14:textId="77777777" w:rsidR="003E5049" w:rsidRPr="005C5E66" w:rsidRDefault="003E5049" w:rsidP="009D04E8">
            <w:pPr>
              <w:ind w:right="-154"/>
              <w:jc w:val="center"/>
              <w:rPr>
                <w:rFonts w:ascii="Calibri" w:hAnsi="Calibri" w:cs="Calibri"/>
                <w:b/>
                <w:sz w:val="21"/>
                <w:szCs w:val="21"/>
                <w:lang w:val="en-US"/>
              </w:rPr>
            </w:pPr>
          </w:p>
        </w:tc>
        <w:tc>
          <w:tcPr>
            <w:tcW w:w="948" w:type="dxa"/>
            <w:vAlign w:val="center"/>
          </w:tcPr>
          <w:p w14:paraId="3FB8028D" w14:textId="2E87A83A" w:rsidR="003E5049" w:rsidRPr="005C5E66" w:rsidRDefault="0077633F"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Yes, SNS</w:t>
            </w:r>
          </w:p>
        </w:tc>
        <w:tc>
          <w:tcPr>
            <w:tcW w:w="4307" w:type="dxa"/>
            <w:vAlign w:val="center"/>
          </w:tcPr>
          <w:p w14:paraId="5E1355B6" w14:textId="69A41EA5" w:rsidR="003E5049" w:rsidRPr="005C5E66" w:rsidRDefault="0077633F"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Intervention proposal from the Bereavement Support Group for health professionals at the University Hospital Center of Porto (CHUP) whose aims were (1) to develop and implement training courses, produce information material, provide consultancy support and hold formal and informal meetings in order to help professionals provide the best care for patients and families with serious illnesses, terminal illnesses, death and bereavement, and in exceptional situations and (2) to maintain a support network for professionals based on the bereavement support group structure.</w:t>
            </w:r>
          </w:p>
        </w:tc>
        <w:tc>
          <w:tcPr>
            <w:tcW w:w="2126" w:type="dxa"/>
            <w:vAlign w:val="center"/>
          </w:tcPr>
          <w:p w14:paraId="4A73AA75" w14:textId="4DFA4C74" w:rsidR="003E5049" w:rsidRPr="005C5E66" w:rsidRDefault="009D04E8" w:rsidP="009D04E8">
            <w:pPr>
              <w:ind w:right="-154"/>
              <w:jc w:val="center"/>
              <w:rPr>
                <w:rFonts w:ascii="Calibri" w:hAnsi="Calibri" w:cs="Calibri"/>
                <w:b/>
                <w:sz w:val="21"/>
                <w:szCs w:val="21"/>
                <w:lang w:val="en-US"/>
              </w:rPr>
            </w:pPr>
            <w:r w:rsidRPr="009D04E8">
              <w:rPr>
                <w:rFonts w:ascii="Bradley Hand" w:hAnsi="Bradley Hand" w:cs="Calibri"/>
                <w:bCs/>
                <w:color w:val="4472C4" w:themeColor="accent1"/>
                <w:sz w:val="21"/>
                <w:szCs w:val="21"/>
                <w:lang w:val="en-US"/>
              </w:rPr>
              <w:t>https://www.boaspraticasemsaude.com/covid/experiencias</w:t>
            </w:r>
          </w:p>
        </w:tc>
      </w:tr>
      <w:tr w:rsidR="00672958" w:rsidRPr="005C5E66" w14:paraId="08230E84" w14:textId="525F1D73" w:rsidTr="009D04E8">
        <w:tc>
          <w:tcPr>
            <w:tcW w:w="2191" w:type="dxa"/>
            <w:vAlign w:val="center"/>
          </w:tcPr>
          <w:p w14:paraId="7CD47716" w14:textId="4E316B75" w:rsidR="00672958" w:rsidRPr="005C5E66" w:rsidRDefault="00672958"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lastRenderedPageBreak/>
              <w:t>Training in Emotional Intelligence</w:t>
            </w:r>
          </w:p>
        </w:tc>
        <w:tc>
          <w:tcPr>
            <w:tcW w:w="1052" w:type="dxa"/>
            <w:vAlign w:val="center"/>
          </w:tcPr>
          <w:p w14:paraId="73FEA841" w14:textId="40BDA852" w:rsidR="00672958" w:rsidRPr="005C5E66" w:rsidRDefault="00672958"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Portugal – </w:t>
            </w:r>
            <w:proofErr w:type="spellStart"/>
            <w:r w:rsidRPr="005C5E66">
              <w:rPr>
                <w:rFonts w:ascii="Bradley Hand" w:hAnsi="Bradley Hand" w:cs="Calibri"/>
                <w:bCs/>
                <w:color w:val="4472C4" w:themeColor="accent1"/>
                <w:sz w:val="21"/>
                <w:szCs w:val="21"/>
                <w:lang w:val="en-US"/>
              </w:rPr>
              <w:t>city</w:t>
            </w:r>
            <w:proofErr w:type="spellEnd"/>
            <w:r w:rsidRPr="005C5E66">
              <w:rPr>
                <w:rFonts w:ascii="Bradley Hand" w:hAnsi="Bradley Hand" w:cs="Calibri"/>
                <w:bCs/>
                <w:color w:val="4472C4" w:themeColor="accent1"/>
                <w:sz w:val="21"/>
                <w:szCs w:val="21"/>
                <w:lang w:val="en-US"/>
              </w:rPr>
              <w:t xml:space="preserve"> </w:t>
            </w:r>
            <w:proofErr w:type="spellStart"/>
            <w:r w:rsidRPr="005C5E66">
              <w:rPr>
                <w:rFonts w:ascii="Bradley Hand" w:hAnsi="Bradley Hand" w:cs="Calibri"/>
                <w:bCs/>
                <w:color w:val="4472C4" w:themeColor="accent1"/>
                <w:sz w:val="21"/>
                <w:szCs w:val="21"/>
                <w:lang w:val="en-US"/>
              </w:rPr>
              <w:t>of</w:t>
            </w:r>
            <w:proofErr w:type="spellEnd"/>
            <w:r w:rsidRPr="005C5E66">
              <w:rPr>
                <w:rFonts w:ascii="Bradley Hand" w:hAnsi="Bradley Hand" w:cs="Calibri"/>
                <w:bCs/>
                <w:color w:val="4472C4" w:themeColor="accent1"/>
                <w:sz w:val="21"/>
                <w:szCs w:val="21"/>
                <w:lang w:val="en-US"/>
              </w:rPr>
              <w:t xml:space="preserve"> Ponta Delgada</w:t>
            </w:r>
          </w:p>
        </w:tc>
        <w:tc>
          <w:tcPr>
            <w:tcW w:w="1249" w:type="dxa"/>
            <w:vAlign w:val="center"/>
          </w:tcPr>
          <w:p w14:paraId="565F77EF" w14:textId="1FDD17F1" w:rsidR="00672958" w:rsidRPr="005C5E66" w:rsidRDefault="00672958"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Individual</w:t>
            </w:r>
          </w:p>
        </w:tc>
        <w:tc>
          <w:tcPr>
            <w:tcW w:w="1153" w:type="dxa"/>
            <w:vAlign w:val="center"/>
          </w:tcPr>
          <w:p w14:paraId="7DE96F5D" w14:textId="0302E57E" w:rsidR="00672958" w:rsidRPr="005C5E66" w:rsidRDefault="00672958"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During covid19 pandemic</w:t>
            </w:r>
          </w:p>
        </w:tc>
        <w:tc>
          <w:tcPr>
            <w:tcW w:w="310" w:type="dxa"/>
            <w:vAlign w:val="center"/>
          </w:tcPr>
          <w:p w14:paraId="7F624408" w14:textId="77777777" w:rsidR="00672958" w:rsidRPr="005C5E66" w:rsidRDefault="00672958" w:rsidP="009D04E8">
            <w:pPr>
              <w:ind w:right="-154"/>
              <w:jc w:val="center"/>
              <w:rPr>
                <w:rFonts w:ascii="Calibri" w:hAnsi="Calibri" w:cs="Calibri"/>
                <w:b/>
                <w:sz w:val="21"/>
                <w:szCs w:val="21"/>
                <w:lang w:val="en-US"/>
              </w:rPr>
            </w:pPr>
          </w:p>
        </w:tc>
        <w:tc>
          <w:tcPr>
            <w:tcW w:w="340" w:type="dxa"/>
            <w:vAlign w:val="center"/>
          </w:tcPr>
          <w:p w14:paraId="77D8F3D8" w14:textId="0F890111" w:rsidR="00672958" w:rsidRPr="005C5E66" w:rsidRDefault="00672958"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x</w:t>
            </w:r>
          </w:p>
        </w:tc>
        <w:tc>
          <w:tcPr>
            <w:tcW w:w="361" w:type="dxa"/>
            <w:vAlign w:val="center"/>
          </w:tcPr>
          <w:p w14:paraId="590F98EF" w14:textId="77777777" w:rsidR="00672958" w:rsidRPr="005C5E66" w:rsidRDefault="00672958" w:rsidP="009D04E8">
            <w:pPr>
              <w:ind w:right="-154"/>
              <w:jc w:val="center"/>
              <w:rPr>
                <w:rFonts w:ascii="Calibri" w:hAnsi="Calibri" w:cs="Calibri"/>
                <w:b/>
                <w:sz w:val="21"/>
                <w:szCs w:val="21"/>
                <w:lang w:val="en-US"/>
              </w:rPr>
            </w:pPr>
          </w:p>
        </w:tc>
        <w:tc>
          <w:tcPr>
            <w:tcW w:w="275" w:type="dxa"/>
            <w:vAlign w:val="center"/>
          </w:tcPr>
          <w:p w14:paraId="466ADF37" w14:textId="77777777" w:rsidR="00672958" w:rsidRPr="005C5E66" w:rsidRDefault="00672958" w:rsidP="009D04E8">
            <w:pPr>
              <w:ind w:right="-154"/>
              <w:jc w:val="center"/>
              <w:rPr>
                <w:rFonts w:ascii="Calibri" w:hAnsi="Calibri" w:cs="Calibri"/>
                <w:b/>
                <w:sz w:val="21"/>
                <w:szCs w:val="21"/>
                <w:lang w:val="en-US"/>
              </w:rPr>
            </w:pPr>
          </w:p>
        </w:tc>
        <w:tc>
          <w:tcPr>
            <w:tcW w:w="948" w:type="dxa"/>
            <w:vAlign w:val="center"/>
          </w:tcPr>
          <w:p w14:paraId="0D022B62" w14:textId="15FAAD70" w:rsidR="00672958" w:rsidRPr="005C5E66" w:rsidRDefault="00672958"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Yes, SNS</w:t>
            </w:r>
          </w:p>
        </w:tc>
        <w:tc>
          <w:tcPr>
            <w:tcW w:w="4307" w:type="dxa"/>
            <w:vAlign w:val="center"/>
          </w:tcPr>
          <w:p w14:paraId="3E0DDEF5" w14:textId="68845FE4" w:rsidR="00672958" w:rsidRPr="005C5E66" w:rsidRDefault="00672958"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The main objectives of the Emotional Intelligence Training for Health Professionals </w:t>
            </w:r>
            <w:r w:rsidRPr="005C5E66">
              <w:rPr>
                <w:rFonts w:ascii="Bradley Hand" w:hAnsi="Bradley Hand" w:cs="Calibri"/>
                <w:bCs/>
                <w:color w:val="4472C4" w:themeColor="accent1"/>
                <w:sz w:val="21"/>
                <w:szCs w:val="21"/>
                <w:lang w:val="en-US"/>
              </w:rPr>
              <w:t>were:</w:t>
            </w:r>
          </w:p>
          <w:p w14:paraId="352F2409" w14:textId="2203EFDD" w:rsidR="00672958" w:rsidRPr="005C5E66" w:rsidRDefault="00672958"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To make known What Emotional Intelligence Is </w:t>
            </w:r>
            <w:r w:rsidRPr="005C5E66">
              <w:rPr>
                <w:rFonts w:ascii="Bradley Hand" w:hAnsi="Bradley Hand" w:cs="Calibri"/>
                <w:bCs/>
                <w:color w:val="4472C4" w:themeColor="accent1"/>
                <w:sz w:val="21"/>
                <w:szCs w:val="21"/>
                <w:lang w:val="en-US"/>
              </w:rPr>
              <w:t>and</w:t>
            </w:r>
            <w:r w:rsidRPr="005C5E66">
              <w:rPr>
                <w:rFonts w:ascii="Bradley Hand" w:hAnsi="Bradley Hand" w:cs="Calibri"/>
                <w:bCs/>
                <w:color w:val="4472C4" w:themeColor="accent1"/>
                <w:sz w:val="21"/>
                <w:szCs w:val="21"/>
                <w:lang w:val="en-US"/>
              </w:rPr>
              <w:t xml:space="preserve"> What Skills To </w:t>
            </w:r>
            <w:proofErr w:type="gramStart"/>
            <w:r w:rsidRPr="005C5E66">
              <w:rPr>
                <w:rFonts w:ascii="Bradley Hand" w:hAnsi="Bradley Hand" w:cs="Calibri"/>
                <w:bCs/>
                <w:color w:val="4472C4" w:themeColor="accent1"/>
                <w:sz w:val="21"/>
                <w:szCs w:val="21"/>
                <w:lang w:val="en-US"/>
              </w:rPr>
              <w:t>Develop;</w:t>
            </w:r>
            <w:proofErr w:type="gramEnd"/>
          </w:p>
          <w:p w14:paraId="6C864E99" w14:textId="77777777" w:rsidR="00672958" w:rsidRPr="005C5E66" w:rsidRDefault="00672958"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To teach the applicability of emotional intelligence in personal and professional </w:t>
            </w:r>
            <w:proofErr w:type="gramStart"/>
            <w:r w:rsidRPr="005C5E66">
              <w:rPr>
                <w:rFonts w:ascii="Bradley Hand" w:hAnsi="Bradley Hand" w:cs="Calibri"/>
                <w:bCs/>
                <w:color w:val="4472C4" w:themeColor="accent1"/>
                <w:sz w:val="21"/>
                <w:szCs w:val="21"/>
                <w:lang w:val="en-US"/>
              </w:rPr>
              <w:t>life;</w:t>
            </w:r>
            <w:proofErr w:type="gramEnd"/>
          </w:p>
          <w:p w14:paraId="69C00F97" w14:textId="1149F4D1" w:rsidR="00672958" w:rsidRPr="005C5E66" w:rsidRDefault="00672958" w:rsidP="009D04E8">
            <w:pPr>
              <w:ind w:right="-154"/>
              <w:jc w:val="center"/>
              <w:rPr>
                <w:rFonts w:ascii="Calibri" w:hAnsi="Calibri" w:cs="Calibri"/>
                <w:b/>
                <w:sz w:val="21"/>
                <w:szCs w:val="21"/>
              </w:rPr>
            </w:pPr>
            <w:r w:rsidRPr="005C5E66">
              <w:rPr>
                <w:rFonts w:ascii="Bradley Hand" w:hAnsi="Bradley Hand" w:cs="Calibri"/>
                <w:bCs/>
                <w:color w:val="4472C4" w:themeColor="accent1"/>
                <w:sz w:val="21"/>
                <w:szCs w:val="21"/>
                <w:lang w:val="en-US"/>
              </w:rPr>
              <w:t>To provide tools for dealing with stress, anxiety, maintaining motivation and an optimistic mindset.</w:t>
            </w:r>
            <w:r w:rsidRPr="005C5E66">
              <w:rPr>
                <w:rFonts w:ascii="Bradley Hand" w:hAnsi="Bradley Hand" w:cs="Calibri"/>
                <w:bCs/>
                <w:color w:val="4472C4" w:themeColor="accent1"/>
                <w:sz w:val="21"/>
                <w:szCs w:val="21"/>
                <w:lang w:val="en-US"/>
              </w:rPr>
              <w:t xml:space="preserve"> </w:t>
            </w:r>
            <w:proofErr w:type="spellStart"/>
            <w:r w:rsidRPr="005C5E66">
              <w:rPr>
                <w:rFonts w:ascii="Bradley Hand" w:hAnsi="Bradley Hand" w:cs="Calibri"/>
                <w:bCs/>
                <w:color w:val="4472C4" w:themeColor="accent1"/>
                <w:sz w:val="21"/>
                <w:szCs w:val="21"/>
              </w:rPr>
              <w:t>This</w:t>
            </w:r>
            <w:proofErr w:type="spellEnd"/>
            <w:r w:rsidRPr="005C5E66">
              <w:rPr>
                <w:rFonts w:ascii="Bradley Hand" w:hAnsi="Bradley Hand" w:cs="Calibri"/>
                <w:bCs/>
                <w:color w:val="4472C4" w:themeColor="accent1"/>
                <w:sz w:val="21"/>
                <w:szCs w:val="21"/>
              </w:rPr>
              <w:t xml:space="preserve"> </w:t>
            </w:r>
            <w:proofErr w:type="spellStart"/>
            <w:r w:rsidRPr="005C5E66">
              <w:rPr>
                <w:rFonts w:ascii="Bradley Hand" w:hAnsi="Bradley Hand" w:cs="Calibri"/>
                <w:bCs/>
                <w:color w:val="4472C4" w:themeColor="accent1"/>
                <w:sz w:val="21"/>
                <w:szCs w:val="21"/>
              </w:rPr>
              <w:t>innitiative</w:t>
            </w:r>
            <w:proofErr w:type="spellEnd"/>
            <w:r w:rsidRPr="005C5E66">
              <w:rPr>
                <w:rFonts w:ascii="Bradley Hand" w:hAnsi="Bradley Hand" w:cs="Calibri"/>
                <w:bCs/>
                <w:color w:val="4472C4" w:themeColor="accent1"/>
                <w:sz w:val="21"/>
                <w:szCs w:val="21"/>
              </w:rPr>
              <w:t xml:space="preserve"> </w:t>
            </w:r>
            <w:proofErr w:type="spellStart"/>
            <w:r w:rsidRPr="005C5E66">
              <w:rPr>
                <w:rFonts w:ascii="Bradley Hand" w:hAnsi="Bradley Hand" w:cs="Calibri"/>
                <w:bCs/>
                <w:color w:val="4472C4" w:themeColor="accent1"/>
                <w:sz w:val="21"/>
                <w:szCs w:val="21"/>
              </w:rPr>
              <w:t>was</w:t>
            </w:r>
            <w:proofErr w:type="spellEnd"/>
            <w:r w:rsidRPr="005C5E66">
              <w:rPr>
                <w:rFonts w:ascii="Bradley Hand" w:hAnsi="Bradley Hand" w:cs="Calibri"/>
                <w:bCs/>
                <w:color w:val="4472C4" w:themeColor="accent1"/>
                <w:sz w:val="21"/>
                <w:szCs w:val="21"/>
              </w:rPr>
              <w:t xml:space="preserve"> </w:t>
            </w:r>
            <w:proofErr w:type="spellStart"/>
            <w:r w:rsidRPr="005C5E66">
              <w:rPr>
                <w:rFonts w:ascii="Bradley Hand" w:hAnsi="Bradley Hand" w:cs="Calibri"/>
                <w:bCs/>
                <w:color w:val="4472C4" w:themeColor="accent1"/>
                <w:sz w:val="21"/>
                <w:szCs w:val="21"/>
              </w:rPr>
              <w:t>developed</w:t>
            </w:r>
            <w:proofErr w:type="spellEnd"/>
            <w:r w:rsidRPr="005C5E66">
              <w:rPr>
                <w:rFonts w:ascii="Bradley Hand" w:hAnsi="Bradley Hand" w:cs="Calibri"/>
                <w:bCs/>
                <w:color w:val="4472C4" w:themeColor="accent1"/>
                <w:sz w:val="21"/>
                <w:szCs w:val="21"/>
              </w:rPr>
              <w:t xml:space="preserve"> in Hospital Divino Espírito Santo de Ponta Delgada.</w:t>
            </w:r>
          </w:p>
        </w:tc>
        <w:tc>
          <w:tcPr>
            <w:tcW w:w="2126" w:type="dxa"/>
            <w:vAlign w:val="center"/>
          </w:tcPr>
          <w:p w14:paraId="25F9A18A" w14:textId="44F1E46B" w:rsidR="00672958" w:rsidRPr="009D04E8" w:rsidRDefault="009D04E8" w:rsidP="009D04E8">
            <w:pPr>
              <w:ind w:right="-154"/>
              <w:jc w:val="center"/>
              <w:rPr>
                <w:rFonts w:ascii="Bradley Hand" w:hAnsi="Bradley Hand" w:cs="Calibri"/>
                <w:bCs/>
                <w:color w:val="4472C4" w:themeColor="accent1"/>
                <w:sz w:val="21"/>
                <w:szCs w:val="21"/>
              </w:rPr>
            </w:pPr>
            <w:r w:rsidRPr="009D04E8">
              <w:rPr>
                <w:rFonts w:ascii="Bradley Hand" w:hAnsi="Bradley Hand" w:cs="Calibri"/>
                <w:bCs/>
                <w:color w:val="4472C4" w:themeColor="accent1"/>
                <w:sz w:val="21"/>
                <w:szCs w:val="21"/>
              </w:rPr>
              <w:t>https://www.boaspraticasemsaude.com/covid/experiencias</w:t>
            </w:r>
          </w:p>
        </w:tc>
      </w:tr>
      <w:tr w:rsidR="00672958" w:rsidRPr="005C5E66" w14:paraId="0AA59575" w14:textId="77777777" w:rsidTr="009D04E8">
        <w:tc>
          <w:tcPr>
            <w:tcW w:w="2191" w:type="dxa"/>
            <w:vAlign w:val="center"/>
          </w:tcPr>
          <w:p w14:paraId="1565F0BB" w14:textId="00A83C00" w:rsidR="00672958"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Mental Health Challenges for INEM Professionals: Together we are more resilient in the COVID-19 era</w:t>
            </w:r>
          </w:p>
        </w:tc>
        <w:tc>
          <w:tcPr>
            <w:tcW w:w="1052" w:type="dxa"/>
            <w:vAlign w:val="center"/>
          </w:tcPr>
          <w:p w14:paraId="02D0EC7C" w14:textId="0F55577F" w:rsidR="00672958"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Portugal</w:t>
            </w:r>
          </w:p>
        </w:tc>
        <w:tc>
          <w:tcPr>
            <w:tcW w:w="1249" w:type="dxa"/>
            <w:vAlign w:val="center"/>
          </w:tcPr>
          <w:p w14:paraId="240D0D84" w14:textId="3D2B2270" w:rsidR="00672958"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Individua</w:t>
            </w:r>
            <w:r w:rsidRPr="005C5E66">
              <w:rPr>
                <w:rFonts w:ascii="Bradley Hand" w:hAnsi="Bradley Hand" w:cs="Calibri"/>
                <w:bCs/>
                <w:color w:val="4472C4" w:themeColor="accent1"/>
                <w:sz w:val="21"/>
                <w:szCs w:val="21"/>
                <w:lang w:val="en-US"/>
              </w:rPr>
              <w:t>l</w:t>
            </w:r>
          </w:p>
        </w:tc>
        <w:tc>
          <w:tcPr>
            <w:tcW w:w="1153" w:type="dxa"/>
            <w:vAlign w:val="center"/>
          </w:tcPr>
          <w:p w14:paraId="23CC4AD6" w14:textId="7CE1CBE0" w:rsidR="00672958"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During covid19 pandemic</w:t>
            </w:r>
          </w:p>
        </w:tc>
        <w:tc>
          <w:tcPr>
            <w:tcW w:w="310" w:type="dxa"/>
            <w:vAlign w:val="center"/>
          </w:tcPr>
          <w:p w14:paraId="6F5FC1F7" w14:textId="77777777" w:rsidR="00672958" w:rsidRPr="005C5E66" w:rsidRDefault="00672958" w:rsidP="009D04E8">
            <w:pPr>
              <w:ind w:right="-154"/>
              <w:jc w:val="center"/>
              <w:rPr>
                <w:rFonts w:ascii="Calibri" w:hAnsi="Calibri" w:cs="Calibri"/>
                <w:b/>
                <w:sz w:val="21"/>
                <w:szCs w:val="21"/>
                <w:lang w:val="en-US"/>
              </w:rPr>
            </w:pPr>
          </w:p>
        </w:tc>
        <w:tc>
          <w:tcPr>
            <w:tcW w:w="340" w:type="dxa"/>
            <w:vAlign w:val="center"/>
          </w:tcPr>
          <w:p w14:paraId="47A112D9" w14:textId="77777777" w:rsidR="00672958" w:rsidRPr="005C5E66" w:rsidRDefault="00672958" w:rsidP="009D04E8">
            <w:pPr>
              <w:ind w:right="-154"/>
              <w:jc w:val="center"/>
              <w:rPr>
                <w:rFonts w:ascii="Bradley Hand" w:hAnsi="Bradley Hand" w:cs="Calibri"/>
                <w:bCs/>
                <w:color w:val="4472C4" w:themeColor="accent1"/>
                <w:sz w:val="21"/>
                <w:szCs w:val="21"/>
                <w:lang w:val="en-US"/>
              </w:rPr>
            </w:pPr>
          </w:p>
        </w:tc>
        <w:tc>
          <w:tcPr>
            <w:tcW w:w="361" w:type="dxa"/>
            <w:vAlign w:val="center"/>
          </w:tcPr>
          <w:p w14:paraId="095CDAE3" w14:textId="5902B9DE" w:rsidR="00672958" w:rsidRPr="005C5E66" w:rsidRDefault="005C5E66" w:rsidP="009D04E8">
            <w:pPr>
              <w:ind w:right="-154"/>
              <w:jc w:val="center"/>
              <w:rPr>
                <w:rFonts w:ascii="Calibri" w:hAnsi="Calibri" w:cs="Calibri"/>
                <w:b/>
                <w:sz w:val="21"/>
                <w:szCs w:val="21"/>
                <w:lang w:val="en-US"/>
              </w:rPr>
            </w:pPr>
            <w:r w:rsidRPr="005C5E66">
              <w:rPr>
                <w:rFonts w:ascii="Bradley Hand" w:hAnsi="Bradley Hand" w:cs="Calibri"/>
                <w:bCs/>
                <w:color w:val="4472C4" w:themeColor="accent1"/>
                <w:sz w:val="21"/>
                <w:szCs w:val="21"/>
                <w:lang w:val="en-US"/>
              </w:rPr>
              <w:t>x</w:t>
            </w:r>
          </w:p>
        </w:tc>
        <w:tc>
          <w:tcPr>
            <w:tcW w:w="275" w:type="dxa"/>
            <w:vAlign w:val="center"/>
          </w:tcPr>
          <w:p w14:paraId="4A45F7F4" w14:textId="77777777" w:rsidR="00672958" w:rsidRPr="005C5E66" w:rsidRDefault="00672958" w:rsidP="009D04E8">
            <w:pPr>
              <w:ind w:right="-154"/>
              <w:jc w:val="center"/>
              <w:rPr>
                <w:rFonts w:ascii="Calibri" w:hAnsi="Calibri" w:cs="Calibri"/>
                <w:b/>
                <w:sz w:val="21"/>
                <w:szCs w:val="21"/>
                <w:lang w:val="en-US"/>
              </w:rPr>
            </w:pPr>
          </w:p>
        </w:tc>
        <w:tc>
          <w:tcPr>
            <w:tcW w:w="948" w:type="dxa"/>
            <w:vAlign w:val="center"/>
          </w:tcPr>
          <w:p w14:paraId="79461C09" w14:textId="04E261CC" w:rsidR="00672958"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Yes, SNS</w:t>
            </w:r>
          </w:p>
        </w:tc>
        <w:tc>
          <w:tcPr>
            <w:tcW w:w="4307" w:type="dxa"/>
            <w:vAlign w:val="center"/>
          </w:tcPr>
          <w:p w14:paraId="297002C2" w14:textId="24F8E253" w:rsidR="005C5E66"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 xml:space="preserve">The </w:t>
            </w:r>
            <w:r w:rsidRPr="005C5E66">
              <w:rPr>
                <w:rFonts w:ascii="Bradley Hand" w:hAnsi="Bradley Hand" w:cs="Calibri"/>
                <w:bCs/>
                <w:color w:val="4472C4" w:themeColor="accent1"/>
                <w:sz w:val="21"/>
                <w:szCs w:val="21"/>
                <w:lang w:val="en-US"/>
              </w:rPr>
              <w:t xml:space="preserve">Psychological Support and Crisis Intervention Centre </w:t>
            </w:r>
            <w:r w:rsidRPr="005C5E66">
              <w:rPr>
                <w:rFonts w:ascii="Bradley Hand" w:hAnsi="Bradley Hand" w:cs="Calibri"/>
                <w:bCs/>
                <w:color w:val="4472C4" w:themeColor="accent1"/>
                <w:sz w:val="21"/>
                <w:szCs w:val="21"/>
                <w:lang w:val="en-US"/>
              </w:rPr>
              <w:t xml:space="preserve">of INEM </w:t>
            </w:r>
            <w:r w:rsidRPr="005C5E66">
              <w:rPr>
                <w:rFonts w:ascii="Bradley Hand" w:hAnsi="Bradley Hand" w:cs="Calibri"/>
                <w:bCs/>
                <w:color w:val="4472C4" w:themeColor="accent1"/>
                <w:sz w:val="21"/>
                <w:szCs w:val="21"/>
                <w:lang w:val="en-US"/>
              </w:rPr>
              <w:t>organized a task force made up of 8 members, called COV-APP (Psychosocial Support for Professionals during COVID). To this end, the following objectives were set:</w:t>
            </w:r>
          </w:p>
          <w:p w14:paraId="361AD38F" w14:textId="3888E3E4" w:rsidR="005C5E66"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To guarantee psychological support for INEM professionals in prophylactic isolation or in the event of COVID-19;</w:t>
            </w:r>
            <w:r w:rsidRPr="005C5E66">
              <w:rPr>
                <w:rFonts w:ascii="Bradley Hand" w:hAnsi="Bradley Hand" w:cs="Calibri"/>
                <w:bCs/>
                <w:color w:val="4472C4" w:themeColor="accent1"/>
                <w:sz w:val="21"/>
                <w:szCs w:val="21"/>
                <w:lang w:val="en-US"/>
              </w:rPr>
              <w:t xml:space="preserve"> </w:t>
            </w:r>
            <w:r w:rsidRPr="005C5E66">
              <w:rPr>
                <w:rFonts w:ascii="Bradley Hand" w:hAnsi="Bradley Hand" w:cs="Calibri"/>
                <w:bCs/>
                <w:color w:val="4472C4" w:themeColor="accent1"/>
                <w:sz w:val="21"/>
                <w:szCs w:val="21"/>
                <w:lang w:val="en-US"/>
              </w:rPr>
              <w:t>To promote adaptive coping strategies on the part of professionals;</w:t>
            </w:r>
            <w:r w:rsidRPr="005C5E66">
              <w:rPr>
                <w:rFonts w:ascii="Bradley Hand" w:hAnsi="Bradley Hand" w:cs="Calibri"/>
                <w:bCs/>
                <w:color w:val="4472C4" w:themeColor="accent1"/>
                <w:sz w:val="21"/>
                <w:szCs w:val="21"/>
                <w:lang w:val="en-US"/>
              </w:rPr>
              <w:t xml:space="preserve"> To r</w:t>
            </w:r>
            <w:r w:rsidRPr="005C5E66">
              <w:rPr>
                <w:rFonts w:ascii="Bradley Hand" w:hAnsi="Bradley Hand" w:cs="Calibri"/>
                <w:bCs/>
                <w:color w:val="4472C4" w:themeColor="accent1"/>
                <w:sz w:val="21"/>
                <w:szCs w:val="21"/>
                <w:lang w:val="en-US"/>
              </w:rPr>
              <w:t>einforce self-care strategies;</w:t>
            </w:r>
            <w:r w:rsidRPr="005C5E66">
              <w:rPr>
                <w:rFonts w:ascii="Bradley Hand" w:hAnsi="Bradley Hand" w:cs="Calibri"/>
                <w:bCs/>
                <w:color w:val="4472C4" w:themeColor="accent1"/>
                <w:sz w:val="21"/>
                <w:szCs w:val="21"/>
                <w:lang w:val="en-US"/>
              </w:rPr>
              <w:t xml:space="preserve"> To d</w:t>
            </w:r>
            <w:r w:rsidRPr="005C5E66">
              <w:rPr>
                <w:rFonts w:ascii="Bradley Hand" w:hAnsi="Bradley Hand" w:cs="Calibri"/>
                <w:bCs/>
                <w:color w:val="4472C4" w:themeColor="accent1"/>
                <w:sz w:val="21"/>
                <w:szCs w:val="21"/>
                <w:lang w:val="en-US"/>
              </w:rPr>
              <w:t>efine CAPIC's Strategy to Ensure Psychosocial Response to Employees During the Pandemic;</w:t>
            </w:r>
            <w:r w:rsidRPr="005C5E66">
              <w:rPr>
                <w:rFonts w:ascii="Bradley Hand" w:hAnsi="Bradley Hand" w:cs="Calibri"/>
                <w:bCs/>
                <w:color w:val="4472C4" w:themeColor="accent1"/>
                <w:sz w:val="21"/>
                <w:szCs w:val="21"/>
                <w:lang w:val="en-US"/>
              </w:rPr>
              <w:t xml:space="preserve"> To p</w:t>
            </w:r>
            <w:r w:rsidRPr="005C5E66">
              <w:rPr>
                <w:rFonts w:ascii="Bradley Hand" w:hAnsi="Bradley Hand" w:cs="Calibri"/>
                <w:bCs/>
                <w:color w:val="4472C4" w:themeColor="accent1"/>
                <w:sz w:val="21"/>
                <w:szCs w:val="21"/>
                <w:lang w:val="en-US"/>
              </w:rPr>
              <w:t>romote effective communication strategies based on official sources of information and in conjunction with regional monitoring teams;</w:t>
            </w:r>
            <w:r w:rsidRPr="005C5E66">
              <w:rPr>
                <w:rFonts w:ascii="Bradley Hand" w:hAnsi="Bradley Hand" w:cs="Calibri"/>
                <w:bCs/>
                <w:color w:val="4472C4" w:themeColor="accent1"/>
                <w:sz w:val="21"/>
                <w:szCs w:val="21"/>
                <w:lang w:val="en-US"/>
              </w:rPr>
              <w:t xml:space="preserve"> To e</w:t>
            </w:r>
            <w:r w:rsidRPr="005C5E66">
              <w:rPr>
                <w:rFonts w:ascii="Bradley Hand" w:hAnsi="Bradley Hand" w:cs="Calibri"/>
                <w:bCs/>
                <w:color w:val="4472C4" w:themeColor="accent1"/>
                <w:sz w:val="21"/>
                <w:szCs w:val="21"/>
                <w:lang w:val="en-US"/>
              </w:rPr>
              <w:t>nsure Intersectoral Articulation Between Partners For Referrals According To Identified Social And Mental Health Needs;</w:t>
            </w:r>
          </w:p>
          <w:p w14:paraId="11AE81A7" w14:textId="3E32E559" w:rsidR="00672958" w:rsidRPr="005C5E66" w:rsidRDefault="005C5E66" w:rsidP="009D04E8">
            <w:pPr>
              <w:ind w:right="-154"/>
              <w:jc w:val="center"/>
              <w:rPr>
                <w:rFonts w:ascii="Bradley Hand" w:hAnsi="Bradley Hand" w:cs="Calibri"/>
                <w:bCs/>
                <w:color w:val="4472C4" w:themeColor="accent1"/>
                <w:sz w:val="21"/>
                <w:szCs w:val="21"/>
                <w:lang w:val="en-US"/>
              </w:rPr>
            </w:pPr>
            <w:r w:rsidRPr="005C5E66">
              <w:rPr>
                <w:rFonts w:ascii="Bradley Hand" w:hAnsi="Bradley Hand" w:cs="Calibri"/>
                <w:bCs/>
                <w:color w:val="4472C4" w:themeColor="accent1"/>
                <w:sz w:val="21"/>
                <w:szCs w:val="21"/>
                <w:lang w:val="en-US"/>
              </w:rPr>
              <w:t>Collaborate with the measures implemented under the INEM Contingency Plan.</w:t>
            </w:r>
          </w:p>
        </w:tc>
        <w:tc>
          <w:tcPr>
            <w:tcW w:w="2126" w:type="dxa"/>
            <w:vAlign w:val="center"/>
          </w:tcPr>
          <w:p w14:paraId="6EB0AB39" w14:textId="70A8E174" w:rsidR="00672958" w:rsidRPr="008533A8" w:rsidRDefault="008533A8" w:rsidP="009D04E8">
            <w:pPr>
              <w:ind w:right="-154"/>
              <w:jc w:val="center"/>
              <w:rPr>
                <w:rFonts w:ascii="Bradley Hand" w:hAnsi="Bradley Hand" w:cs="Calibri"/>
                <w:bCs/>
                <w:color w:val="4472C4" w:themeColor="accent1"/>
                <w:sz w:val="21"/>
                <w:szCs w:val="21"/>
                <w:lang w:val="en-US"/>
              </w:rPr>
            </w:pPr>
            <w:r w:rsidRPr="008533A8">
              <w:rPr>
                <w:rFonts w:ascii="Bradley Hand" w:hAnsi="Bradley Hand" w:cs="Calibri"/>
                <w:bCs/>
                <w:color w:val="4472C4" w:themeColor="accent1"/>
                <w:sz w:val="21"/>
                <w:szCs w:val="21"/>
                <w:lang w:val="en-US"/>
              </w:rPr>
              <w:t>https://www.inem.pt/2020/10/29/dois-projetos-do-inem-sao-finalistas-da-iniciativa-da-apdh-sobre-experiencias-na-era-covid-19/</w:t>
            </w:r>
          </w:p>
        </w:tc>
      </w:tr>
    </w:tbl>
    <w:p w14:paraId="2669CD0D" w14:textId="665E47CF" w:rsidR="007141B0" w:rsidRPr="005C5E66" w:rsidRDefault="007141B0" w:rsidP="007141B0">
      <w:pPr>
        <w:ind w:right="-154"/>
        <w:rPr>
          <w:rFonts w:ascii="Calibri" w:hAnsi="Calibri" w:cs="Calibri"/>
          <w:lang w:val="en-US"/>
        </w:rPr>
      </w:pPr>
    </w:p>
    <w:sectPr w:rsidR="007141B0" w:rsidRPr="005C5E66" w:rsidSect="00D21BEB">
      <w:headerReference w:type="default" r:id="rId7"/>
      <w:pgSz w:w="16840" w:h="11900" w:orient="landscape"/>
      <w:pgMar w:top="839" w:right="965" w:bottom="989"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4502" w14:textId="77777777" w:rsidR="00D32236" w:rsidRDefault="00D32236" w:rsidP="00D21BEB">
      <w:r>
        <w:separator/>
      </w:r>
    </w:p>
  </w:endnote>
  <w:endnote w:type="continuationSeparator" w:id="0">
    <w:p w14:paraId="4D68DA3B" w14:textId="77777777" w:rsidR="00D32236" w:rsidRDefault="00D32236" w:rsidP="00D2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Bold">
    <w:altName w:val="Tahoma"/>
    <w:panose1 w:val="020B0604020202020204"/>
    <w:charset w:val="00"/>
    <w:family w:val="swiss"/>
    <w:notTrueType/>
    <w:pitch w:val="default"/>
    <w:sig w:usb0="0000000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6326" w14:textId="77777777" w:rsidR="00D32236" w:rsidRDefault="00D32236" w:rsidP="00D21BEB">
      <w:r>
        <w:separator/>
      </w:r>
    </w:p>
  </w:footnote>
  <w:footnote w:type="continuationSeparator" w:id="0">
    <w:p w14:paraId="67D1CBC3" w14:textId="77777777" w:rsidR="00D32236" w:rsidRDefault="00D32236" w:rsidP="00D2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AC03" w14:textId="7D255706" w:rsidR="00D21BEB" w:rsidRPr="00D21BEB" w:rsidRDefault="00D21BEB" w:rsidP="00D21BEB">
    <w:pPr>
      <w:jc w:val="right"/>
      <w:rPr>
        <w:rFonts w:ascii="Times New Roman" w:eastAsia="Times New Roman" w:hAnsi="Times New Roman" w:cs="Times New Roman"/>
        <w:lang w:eastAsia="pt-PT"/>
      </w:rPr>
    </w:pPr>
    <w:r w:rsidRPr="00D21BEB">
      <w:rPr>
        <w:rFonts w:ascii="Times New Roman" w:eastAsia="Times New Roman" w:hAnsi="Times New Roman" w:cs="Times New Roman"/>
        <w:lang w:eastAsia="pt-PT"/>
      </w:rPr>
      <w:fldChar w:fldCharType="begin"/>
    </w:r>
    <w:r w:rsidRPr="00D21BEB">
      <w:rPr>
        <w:rFonts w:ascii="Times New Roman" w:eastAsia="Times New Roman" w:hAnsi="Times New Roman" w:cs="Times New Roman"/>
        <w:lang w:eastAsia="pt-PT"/>
      </w:rPr>
      <w:instrText xml:space="preserve"> INCLUDEPICTURE "https://empower4pandemias.eu/wp-content/uploads/2022/04/Signet.png" \* MERGEFORMATINET </w:instrText>
    </w:r>
    <w:r w:rsidRPr="00D21BEB">
      <w:rPr>
        <w:rFonts w:ascii="Times New Roman" w:eastAsia="Times New Roman" w:hAnsi="Times New Roman" w:cs="Times New Roman"/>
        <w:lang w:eastAsia="pt-PT"/>
      </w:rPr>
      <w:fldChar w:fldCharType="separate"/>
    </w:r>
    <w:r w:rsidRPr="00D21BEB">
      <w:rPr>
        <w:rFonts w:ascii="Times New Roman" w:eastAsia="Times New Roman" w:hAnsi="Times New Roman" w:cs="Times New Roman"/>
        <w:noProof/>
        <w:lang w:eastAsia="pt-PT"/>
      </w:rPr>
      <w:drawing>
        <wp:inline distT="0" distB="0" distL="0" distR="0" wp14:anchorId="620CC67E" wp14:editId="7BE2E95A">
          <wp:extent cx="300942" cy="443175"/>
          <wp:effectExtent l="0" t="0" r="4445" b="1905"/>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21" cy="457871"/>
                  </a:xfrm>
                  <a:prstGeom prst="rect">
                    <a:avLst/>
                  </a:prstGeom>
                  <a:noFill/>
                  <a:ln>
                    <a:noFill/>
                  </a:ln>
                </pic:spPr>
              </pic:pic>
            </a:graphicData>
          </a:graphic>
        </wp:inline>
      </w:drawing>
    </w:r>
    <w:r w:rsidRPr="00D21BEB">
      <w:rPr>
        <w:rFonts w:ascii="Times New Roman" w:eastAsia="Times New Roman" w:hAnsi="Times New Roman" w:cs="Times New Roman"/>
        <w:lang w:eastAsia="pt-PT"/>
      </w:rPr>
      <w:fldChar w:fldCharType="end"/>
    </w:r>
  </w:p>
  <w:p w14:paraId="7B71A7F7" w14:textId="77777777" w:rsidR="00D21BEB" w:rsidRDefault="00D21B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7030"/>
    <w:multiLevelType w:val="hybridMultilevel"/>
    <w:tmpl w:val="7CA8D2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CD7514"/>
    <w:multiLevelType w:val="hybridMultilevel"/>
    <w:tmpl w:val="BDB2C6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293B89"/>
    <w:multiLevelType w:val="hybridMultilevel"/>
    <w:tmpl w:val="9F922500"/>
    <w:lvl w:ilvl="0" w:tplc="79EA6210">
      <w:numFmt w:val="bullet"/>
      <w:lvlText w:val="-"/>
      <w:lvlJc w:val="left"/>
      <w:pPr>
        <w:ind w:left="420" w:hanging="360"/>
      </w:pPr>
      <w:rPr>
        <w:rFonts w:ascii="Calibri" w:eastAsiaTheme="minorHAnsi" w:hAnsi="Calibri" w:cs="Calibri" w:hint="default"/>
      </w:rPr>
    </w:lvl>
    <w:lvl w:ilvl="1" w:tplc="08160003" w:tentative="1">
      <w:start w:val="1"/>
      <w:numFmt w:val="bullet"/>
      <w:lvlText w:val="o"/>
      <w:lvlJc w:val="left"/>
      <w:pPr>
        <w:ind w:left="1140" w:hanging="360"/>
      </w:pPr>
      <w:rPr>
        <w:rFonts w:ascii="Courier New" w:hAnsi="Courier New" w:cs="Courier New" w:hint="default"/>
      </w:rPr>
    </w:lvl>
    <w:lvl w:ilvl="2" w:tplc="08160005" w:tentative="1">
      <w:start w:val="1"/>
      <w:numFmt w:val="bullet"/>
      <w:lvlText w:val=""/>
      <w:lvlJc w:val="left"/>
      <w:pPr>
        <w:ind w:left="1860" w:hanging="360"/>
      </w:pPr>
      <w:rPr>
        <w:rFonts w:ascii="Wingdings" w:hAnsi="Wingdings" w:hint="default"/>
      </w:rPr>
    </w:lvl>
    <w:lvl w:ilvl="3" w:tplc="08160001" w:tentative="1">
      <w:start w:val="1"/>
      <w:numFmt w:val="bullet"/>
      <w:lvlText w:val=""/>
      <w:lvlJc w:val="left"/>
      <w:pPr>
        <w:ind w:left="2580" w:hanging="360"/>
      </w:pPr>
      <w:rPr>
        <w:rFonts w:ascii="Symbol" w:hAnsi="Symbol" w:hint="default"/>
      </w:rPr>
    </w:lvl>
    <w:lvl w:ilvl="4" w:tplc="08160003" w:tentative="1">
      <w:start w:val="1"/>
      <w:numFmt w:val="bullet"/>
      <w:lvlText w:val="o"/>
      <w:lvlJc w:val="left"/>
      <w:pPr>
        <w:ind w:left="3300" w:hanging="360"/>
      </w:pPr>
      <w:rPr>
        <w:rFonts w:ascii="Courier New" w:hAnsi="Courier New" w:cs="Courier New" w:hint="default"/>
      </w:rPr>
    </w:lvl>
    <w:lvl w:ilvl="5" w:tplc="08160005" w:tentative="1">
      <w:start w:val="1"/>
      <w:numFmt w:val="bullet"/>
      <w:lvlText w:val=""/>
      <w:lvlJc w:val="left"/>
      <w:pPr>
        <w:ind w:left="4020" w:hanging="360"/>
      </w:pPr>
      <w:rPr>
        <w:rFonts w:ascii="Wingdings" w:hAnsi="Wingdings" w:hint="default"/>
      </w:rPr>
    </w:lvl>
    <w:lvl w:ilvl="6" w:tplc="08160001" w:tentative="1">
      <w:start w:val="1"/>
      <w:numFmt w:val="bullet"/>
      <w:lvlText w:val=""/>
      <w:lvlJc w:val="left"/>
      <w:pPr>
        <w:ind w:left="4740" w:hanging="360"/>
      </w:pPr>
      <w:rPr>
        <w:rFonts w:ascii="Symbol" w:hAnsi="Symbol" w:hint="default"/>
      </w:rPr>
    </w:lvl>
    <w:lvl w:ilvl="7" w:tplc="08160003" w:tentative="1">
      <w:start w:val="1"/>
      <w:numFmt w:val="bullet"/>
      <w:lvlText w:val="o"/>
      <w:lvlJc w:val="left"/>
      <w:pPr>
        <w:ind w:left="5460" w:hanging="360"/>
      </w:pPr>
      <w:rPr>
        <w:rFonts w:ascii="Courier New" w:hAnsi="Courier New" w:cs="Courier New" w:hint="default"/>
      </w:rPr>
    </w:lvl>
    <w:lvl w:ilvl="8" w:tplc="08160005" w:tentative="1">
      <w:start w:val="1"/>
      <w:numFmt w:val="bullet"/>
      <w:lvlText w:val=""/>
      <w:lvlJc w:val="left"/>
      <w:pPr>
        <w:ind w:left="6180" w:hanging="360"/>
      </w:pPr>
      <w:rPr>
        <w:rFonts w:ascii="Wingdings" w:hAnsi="Wingdings" w:hint="default"/>
      </w:rPr>
    </w:lvl>
  </w:abstractNum>
  <w:abstractNum w:abstractNumId="3" w15:restartNumberingAfterBreak="0">
    <w:nsid w:val="52596066"/>
    <w:multiLevelType w:val="hybridMultilevel"/>
    <w:tmpl w:val="16F656B4"/>
    <w:lvl w:ilvl="0" w:tplc="C6229BEC">
      <w:start w:val="1"/>
      <w:numFmt w:val="decimal"/>
      <w:lvlText w:val="%1)"/>
      <w:lvlJc w:val="left"/>
      <w:pPr>
        <w:ind w:left="720" w:hanging="360"/>
      </w:pPr>
      <w:rPr>
        <w:rFonts w:ascii="Calibri" w:hAnsi="Calibri" w:cs="Calibri"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B432BA9"/>
    <w:multiLevelType w:val="hybridMultilevel"/>
    <w:tmpl w:val="58A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B0"/>
    <w:rsid w:val="00142E91"/>
    <w:rsid w:val="001B30E8"/>
    <w:rsid w:val="002116C7"/>
    <w:rsid w:val="002C2445"/>
    <w:rsid w:val="003075FB"/>
    <w:rsid w:val="003E5049"/>
    <w:rsid w:val="00570F8A"/>
    <w:rsid w:val="00593DA3"/>
    <w:rsid w:val="005C5E66"/>
    <w:rsid w:val="00645A92"/>
    <w:rsid w:val="00663C87"/>
    <w:rsid w:val="00672958"/>
    <w:rsid w:val="007141B0"/>
    <w:rsid w:val="0077633F"/>
    <w:rsid w:val="007E4423"/>
    <w:rsid w:val="008533A8"/>
    <w:rsid w:val="009D04E8"/>
    <w:rsid w:val="00AD60E8"/>
    <w:rsid w:val="00B75D3D"/>
    <w:rsid w:val="00B94804"/>
    <w:rsid w:val="00BC2A3D"/>
    <w:rsid w:val="00D21BEB"/>
    <w:rsid w:val="00D32236"/>
    <w:rsid w:val="00D56C75"/>
    <w:rsid w:val="00DC7941"/>
    <w:rsid w:val="00F53D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AE16"/>
  <w14:defaultImageDpi w14:val="32767"/>
  <w15:chartTrackingRefBased/>
  <w15:docId w15:val="{DE8F6D1A-90D6-5E4F-98E4-AE430FFF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9"/>
    <w:qFormat/>
    <w:rsid w:val="007141B0"/>
    <w:pPr>
      <w:keepNext/>
      <w:shd w:val="clear" w:color="auto" w:fill="737373"/>
      <w:tabs>
        <w:tab w:val="left" w:pos="426"/>
        <w:tab w:val="num" w:pos="1440"/>
      </w:tabs>
      <w:spacing w:before="120" w:after="240"/>
      <w:outlineLvl w:val="0"/>
    </w:pPr>
    <w:rPr>
      <w:rFonts w:ascii="Tahoma-Bold" w:eastAsia="Times New Roman" w:hAnsi="Tahoma-Bold" w:cs="Times New Roman"/>
      <w:b/>
      <w:color w:val="FFFFFF"/>
      <w:sz w:val="34"/>
      <w:szCs w:val="20"/>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Paragraph LVL 1,Viñetas (Inicio Parrafo),Listenabsatz"/>
    <w:basedOn w:val="Normal"/>
    <w:link w:val="PargrafodaListaCarter"/>
    <w:uiPriority w:val="34"/>
    <w:qFormat/>
    <w:rsid w:val="007141B0"/>
    <w:pPr>
      <w:ind w:left="720"/>
      <w:contextualSpacing/>
    </w:pPr>
  </w:style>
  <w:style w:type="character" w:customStyle="1" w:styleId="PargrafodaListaCarter">
    <w:name w:val="Parágrafo da Lista Caráter"/>
    <w:aliases w:val="List Paragraph LVL 1 Caráter,Viñetas (Inicio Parrafo) Caráter,Listenabsatz Caráter"/>
    <w:basedOn w:val="Tipodeletrapredefinidodopargrafo"/>
    <w:link w:val="PargrafodaLista"/>
    <w:uiPriority w:val="34"/>
    <w:rsid w:val="007141B0"/>
  </w:style>
  <w:style w:type="character" w:customStyle="1" w:styleId="Ttulo1Carter">
    <w:name w:val="Título 1 Caráter"/>
    <w:basedOn w:val="Tipodeletrapredefinidodopargrafo"/>
    <w:link w:val="Ttulo1"/>
    <w:uiPriority w:val="99"/>
    <w:rsid w:val="007141B0"/>
    <w:rPr>
      <w:rFonts w:ascii="Tahoma-Bold" w:eastAsia="Times New Roman" w:hAnsi="Tahoma-Bold" w:cs="Times New Roman"/>
      <w:b/>
      <w:color w:val="FFFFFF"/>
      <w:sz w:val="34"/>
      <w:szCs w:val="20"/>
      <w:shd w:val="clear" w:color="auto" w:fill="737373"/>
      <w:lang w:val="en-GB"/>
    </w:rPr>
  </w:style>
  <w:style w:type="table" w:styleId="TabelacomGrelha">
    <w:name w:val="Table Grid"/>
    <w:basedOn w:val="Tabelanormal"/>
    <w:uiPriority w:val="39"/>
    <w:rsid w:val="005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BC2A3D"/>
    <w:rPr>
      <w:sz w:val="16"/>
      <w:szCs w:val="16"/>
    </w:rPr>
  </w:style>
  <w:style w:type="paragraph" w:styleId="Textodecomentrio">
    <w:name w:val="annotation text"/>
    <w:basedOn w:val="Normal"/>
    <w:link w:val="TextodecomentrioCarter"/>
    <w:uiPriority w:val="99"/>
    <w:semiHidden/>
    <w:unhideWhenUsed/>
    <w:rsid w:val="00BC2A3D"/>
    <w:rPr>
      <w:sz w:val="20"/>
      <w:szCs w:val="20"/>
    </w:rPr>
  </w:style>
  <w:style w:type="character" w:customStyle="1" w:styleId="TextodecomentrioCarter">
    <w:name w:val="Texto de comentário Caráter"/>
    <w:basedOn w:val="Tipodeletrapredefinidodopargrafo"/>
    <w:link w:val="Textodecomentrio"/>
    <w:uiPriority w:val="99"/>
    <w:semiHidden/>
    <w:rsid w:val="00BC2A3D"/>
    <w:rPr>
      <w:sz w:val="20"/>
      <w:szCs w:val="20"/>
    </w:rPr>
  </w:style>
  <w:style w:type="paragraph" w:styleId="Assuntodecomentrio">
    <w:name w:val="annotation subject"/>
    <w:basedOn w:val="Textodecomentrio"/>
    <w:next w:val="Textodecomentrio"/>
    <w:link w:val="AssuntodecomentrioCarter"/>
    <w:uiPriority w:val="99"/>
    <w:semiHidden/>
    <w:unhideWhenUsed/>
    <w:rsid w:val="00BC2A3D"/>
    <w:rPr>
      <w:b/>
      <w:bCs/>
    </w:rPr>
  </w:style>
  <w:style w:type="character" w:customStyle="1" w:styleId="AssuntodecomentrioCarter">
    <w:name w:val="Assunto de comentário Caráter"/>
    <w:basedOn w:val="TextodecomentrioCarter"/>
    <w:link w:val="Assuntodecomentrio"/>
    <w:uiPriority w:val="99"/>
    <w:semiHidden/>
    <w:rsid w:val="00BC2A3D"/>
    <w:rPr>
      <w:b/>
      <w:bCs/>
      <w:sz w:val="20"/>
      <w:szCs w:val="20"/>
    </w:rPr>
  </w:style>
  <w:style w:type="paragraph" w:styleId="Cabealho">
    <w:name w:val="header"/>
    <w:basedOn w:val="Normal"/>
    <w:link w:val="CabealhoCarter"/>
    <w:uiPriority w:val="99"/>
    <w:unhideWhenUsed/>
    <w:rsid w:val="00D21BEB"/>
    <w:pPr>
      <w:tabs>
        <w:tab w:val="center" w:pos="4252"/>
        <w:tab w:val="right" w:pos="8504"/>
      </w:tabs>
    </w:pPr>
  </w:style>
  <w:style w:type="character" w:customStyle="1" w:styleId="CabealhoCarter">
    <w:name w:val="Cabeçalho Caráter"/>
    <w:basedOn w:val="Tipodeletrapredefinidodopargrafo"/>
    <w:link w:val="Cabealho"/>
    <w:uiPriority w:val="99"/>
    <w:rsid w:val="00D21BEB"/>
  </w:style>
  <w:style w:type="paragraph" w:styleId="Rodap">
    <w:name w:val="footer"/>
    <w:basedOn w:val="Normal"/>
    <w:link w:val="RodapCarter"/>
    <w:uiPriority w:val="99"/>
    <w:unhideWhenUsed/>
    <w:rsid w:val="00D21BEB"/>
    <w:pPr>
      <w:tabs>
        <w:tab w:val="center" w:pos="4252"/>
        <w:tab w:val="right" w:pos="8504"/>
      </w:tabs>
    </w:pPr>
  </w:style>
  <w:style w:type="character" w:customStyle="1" w:styleId="RodapCarter">
    <w:name w:val="Rodapé Caráter"/>
    <w:basedOn w:val="Tipodeletrapredefinidodopargrafo"/>
    <w:link w:val="Rodap"/>
    <w:uiPriority w:val="99"/>
    <w:rsid w:val="00D2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055">
      <w:bodyDiv w:val="1"/>
      <w:marLeft w:val="0"/>
      <w:marRight w:val="0"/>
      <w:marTop w:val="0"/>
      <w:marBottom w:val="0"/>
      <w:divBdr>
        <w:top w:val="none" w:sz="0" w:space="0" w:color="auto"/>
        <w:left w:val="none" w:sz="0" w:space="0" w:color="auto"/>
        <w:bottom w:val="none" w:sz="0" w:space="0" w:color="auto"/>
        <w:right w:val="none" w:sz="0" w:space="0" w:color="auto"/>
      </w:divBdr>
    </w:div>
    <w:div w:id="265189762">
      <w:bodyDiv w:val="1"/>
      <w:marLeft w:val="0"/>
      <w:marRight w:val="0"/>
      <w:marTop w:val="0"/>
      <w:marBottom w:val="0"/>
      <w:divBdr>
        <w:top w:val="none" w:sz="0" w:space="0" w:color="auto"/>
        <w:left w:val="none" w:sz="0" w:space="0" w:color="auto"/>
        <w:bottom w:val="none" w:sz="0" w:space="0" w:color="auto"/>
        <w:right w:val="none" w:sz="0" w:space="0" w:color="auto"/>
      </w:divBdr>
    </w:div>
    <w:div w:id="9357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Raquel Freitas Simões Almeida</cp:lastModifiedBy>
  <cp:revision>6</cp:revision>
  <dcterms:created xsi:type="dcterms:W3CDTF">2023-08-17T14:55:00Z</dcterms:created>
  <dcterms:modified xsi:type="dcterms:W3CDTF">2023-08-17T15:15:00Z</dcterms:modified>
</cp:coreProperties>
</file>